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FD1A6" w14:textId="77777777" w:rsidR="0036345D" w:rsidRDefault="00B0562B">
      <w:pPr>
        <w:jc w:val="center"/>
        <w:rPr>
          <w:b/>
          <w:bCs/>
          <w:color w:val="C00000"/>
          <w:sz w:val="40"/>
          <w:szCs w:val="40"/>
        </w:rPr>
      </w:pPr>
      <w:r>
        <w:rPr>
          <w:b/>
          <w:bCs/>
          <w:noProof/>
          <w:color w:val="C00000"/>
          <w:sz w:val="40"/>
          <w:szCs w:val="40"/>
          <w:lang w:eastAsia="fr-FR"/>
        </w:rPr>
        <w:drawing>
          <wp:inline distT="0" distB="0" distL="0" distR="0" wp14:anchorId="45D57288" wp14:editId="2897B129">
            <wp:extent cx="6502400" cy="1016000"/>
            <wp:effectExtent l="0" t="0" r="0" b="0"/>
            <wp:docPr id="1" name="Image 1" descr="Une image contenant sport athlétique, sport, 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eau-plateforme-pc.png"/>
                    <pic:cNvPicPr/>
                  </pic:nvPicPr>
                  <pic:blipFill>
                    <a:blip r:embed="rId6">
                      <a:extLst>
                        <a:ext uri="{28A0092B-C50C-407E-A947-70E740481C1C}">
                          <a14:useLocalDpi xmlns:a14="http://schemas.microsoft.com/office/drawing/2010/main" val="0"/>
                        </a:ext>
                      </a:extLst>
                    </a:blip>
                    <a:stretch>
                      <a:fillRect/>
                    </a:stretch>
                  </pic:blipFill>
                  <pic:spPr>
                    <a:xfrm>
                      <a:off x="0" y="0"/>
                      <a:ext cx="6502400" cy="1016000"/>
                    </a:xfrm>
                    <a:prstGeom prst="rect">
                      <a:avLst/>
                    </a:prstGeom>
                  </pic:spPr>
                </pic:pic>
              </a:graphicData>
            </a:graphic>
          </wp:inline>
        </w:drawing>
      </w:r>
    </w:p>
    <w:p w14:paraId="04E06C96" w14:textId="51B9ED0F" w:rsidR="0036345D" w:rsidRPr="00951E8F" w:rsidRDefault="00B0562B" w:rsidP="00951E8F">
      <w:pPr>
        <w:jc w:val="center"/>
        <w:rPr>
          <w:b/>
          <w:bCs/>
          <w:color w:val="4472C4" w:themeColor="accent1"/>
          <w:sz w:val="36"/>
          <w:szCs w:val="36"/>
        </w:rPr>
      </w:pPr>
      <w:r w:rsidRPr="00883D52">
        <w:rPr>
          <w:b/>
          <w:bCs/>
          <w:color w:val="4472C4" w:themeColor="accent1"/>
          <w:sz w:val="36"/>
          <w:szCs w:val="36"/>
        </w:rPr>
        <w:t xml:space="preserve">NOTICE D’UTILISATION </w:t>
      </w:r>
      <w:r w:rsidRPr="00883D52">
        <w:rPr>
          <w:b/>
          <w:bCs/>
          <w:color w:val="000000" w:themeColor="text1"/>
          <w:sz w:val="36"/>
          <w:szCs w:val="36"/>
        </w:rPr>
        <w:t>/</w:t>
      </w:r>
      <w:r w:rsidRPr="00883D52">
        <w:rPr>
          <w:b/>
          <w:bCs/>
          <w:color w:val="4472C4" w:themeColor="accent1"/>
          <w:sz w:val="36"/>
          <w:szCs w:val="36"/>
        </w:rPr>
        <w:t xml:space="preserve"> PACKAGES VIP </w:t>
      </w:r>
      <w:r w:rsidRPr="00951E8F">
        <w:rPr>
          <w:b/>
          <w:bCs/>
          <w:color w:val="4472C4" w:themeColor="accent1"/>
          <w:sz w:val="36"/>
          <w:szCs w:val="36"/>
        </w:rPr>
        <w:t>2022</w:t>
      </w:r>
    </w:p>
    <w:p w14:paraId="30B274C2" w14:textId="77777777" w:rsidR="0036345D" w:rsidRDefault="00B0562B">
      <w:pPr>
        <w:jc w:val="both"/>
        <w:rPr>
          <w:b/>
          <w:bCs/>
          <w:color w:val="4472C4" w:themeColor="accent1"/>
          <w:sz w:val="18"/>
          <w:szCs w:val="18"/>
          <w:u w:val="single"/>
        </w:rPr>
      </w:pPr>
      <w:r>
        <w:rPr>
          <w:b/>
          <w:bCs/>
          <w:color w:val="4472C4" w:themeColor="accent1"/>
          <w:sz w:val="18"/>
          <w:szCs w:val="18"/>
          <w:u w:val="single"/>
        </w:rPr>
        <w:t xml:space="preserve">Accès Brest </w:t>
      </w:r>
      <w:proofErr w:type="gramStart"/>
      <w:r>
        <w:rPr>
          <w:b/>
          <w:bCs/>
          <w:color w:val="4472C4" w:themeColor="accent1"/>
          <w:sz w:val="18"/>
          <w:szCs w:val="18"/>
          <w:u w:val="single"/>
        </w:rPr>
        <w:t>Arena:</w:t>
      </w:r>
      <w:proofErr w:type="gramEnd"/>
    </w:p>
    <w:p w14:paraId="49360E24" w14:textId="5FC06C07" w:rsidR="0036345D" w:rsidRDefault="00B0562B">
      <w:pPr>
        <w:pStyle w:val="Paragraphedeliste"/>
        <w:numPr>
          <w:ilvl w:val="0"/>
          <w:numId w:val="1"/>
        </w:numPr>
        <w:jc w:val="both"/>
        <w:rPr>
          <w:sz w:val="18"/>
          <w:szCs w:val="18"/>
        </w:rPr>
      </w:pPr>
      <w:r>
        <w:rPr>
          <w:sz w:val="18"/>
          <w:szCs w:val="18"/>
        </w:rPr>
        <w:t xml:space="preserve">Invitations (e-billet) ou badges VIP : accès par l’accueil VIP </w:t>
      </w:r>
      <w:r>
        <w:rPr>
          <w:i/>
          <w:iCs/>
          <w:sz w:val="18"/>
          <w:szCs w:val="18"/>
        </w:rPr>
        <w:t>(entrée côté pa</w:t>
      </w:r>
      <w:r w:rsidR="00883D52">
        <w:rPr>
          <w:i/>
          <w:iCs/>
          <w:sz w:val="18"/>
          <w:szCs w:val="18"/>
        </w:rPr>
        <w:t>r</w:t>
      </w:r>
      <w:r>
        <w:rPr>
          <w:i/>
          <w:iCs/>
          <w:sz w:val="18"/>
          <w:szCs w:val="18"/>
        </w:rPr>
        <w:t>king)</w:t>
      </w:r>
      <w:r>
        <w:rPr>
          <w:sz w:val="18"/>
          <w:szCs w:val="18"/>
        </w:rPr>
        <w:t xml:space="preserve">. Pensez à vous munir d’une pièce d’identité. </w:t>
      </w:r>
    </w:p>
    <w:p w14:paraId="39C968D9" w14:textId="725CF2EE" w:rsidR="0036345D" w:rsidRDefault="00B0562B">
      <w:pPr>
        <w:pStyle w:val="Paragraphedeliste"/>
        <w:numPr>
          <w:ilvl w:val="0"/>
          <w:numId w:val="1"/>
        </w:numPr>
        <w:jc w:val="both"/>
        <w:rPr>
          <w:sz w:val="18"/>
          <w:szCs w:val="18"/>
        </w:rPr>
      </w:pPr>
      <w:r>
        <w:rPr>
          <w:sz w:val="18"/>
          <w:szCs w:val="18"/>
        </w:rPr>
        <w:t xml:space="preserve">Invitations Grand Public (e-billet) : accès par l’accueil Grand Public </w:t>
      </w:r>
      <w:r>
        <w:rPr>
          <w:i/>
          <w:iCs/>
          <w:sz w:val="18"/>
          <w:szCs w:val="18"/>
        </w:rPr>
        <w:t>(entrée côté tram)</w:t>
      </w:r>
      <w:r>
        <w:rPr>
          <w:sz w:val="18"/>
          <w:szCs w:val="18"/>
        </w:rPr>
        <w:t>.</w:t>
      </w:r>
    </w:p>
    <w:p w14:paraId="7EC82AA4" w14:textId="1239F376" w:rsidR="0036345D" w:rsidRDefault="00A77E7D">
      <w:pPr>
        <w:jc w:val="both"/>
        <w:rPr>
          <w:b/>
          <w:bCs/>
          <w:color w:val="4472C4" w:themeColor="accent1"/>
          <w:sz w:val="18"/>
          <w:szCs w:val="18"/>
          <w:u w:val="single"/>
        </w:rPr>
      </w:pPr>
      <w:r>
        <w:rPr>
          <w:b/>
          <w:bCs/>
          <w:color w:val="4472C4" w:themeColor="accent1"/>
          <w:sz w:val="18"/>
          <w:szCs w:val="18"/>
          <w:u w:val="single"/>
        </w:rPr>
        <w:t xml:space="preserve">NOUVEAUTÉS 2022 </w:t>
      </w:r>
      <w:r w:rsidR="00B0562B">
        <w:rPr>
          <w:b/>
          <w:bCs/>
          <w:color w:val="4472C4" w:themeColor="accent1"/>
          <w:sz w:val="18"/>
          <w:szCs w:val="18"/>
          <w:u w:val="single"/>
        </w:rPr>
        <w:t>– DÉMATÉRIALISATION DES INVITATIONS ET DES BADGES </w:t>
      </w:r>
    </w:p>
    <w:p w14:paraId="6018BF4D" w14:textId="53C952C5" w:rsidR="0036345D" w:rsidRDefault="00A77E7D" w:rsidP="00883D52">
      <w:pPr>
        <w:spacing w:after="0"/>
        <w:jc w:val="both"/>
        <w:rPr>
          <w:color w:val="F27900"/>
          <w:sz w:val="18"/>
          <w:szCs w:val="18"/>
        </w:rPr>
      </w:pPr>
      <w:r>
        <w:rPr>
          <w:b/>
          <w:bCs/>
          <w:color w:val="F27900"/>
          <w:sz w:val="18"/>
          <w:szCs w:val="18"/>
        </w:rPr>
        <w:t>Invitation E-Billet</w:t>
      </w:r>
      <w:r w:rsidR="00B0562B">
        <w:rPr>
          <w:b/>
          <w:bCs/>
          <w:color w:val="F27900"/>
          <w:sz w:val="18"/>
          <w:szCs w:val="18"/>
        </w:rPr>
        <w:t xml:space="preserve"> Tribunes VIP</w:t>
      </w:r>
      <w:r w:rsidR="00B0562B">
        <w:rPr>
          <w:color w:val="F27900"/>
          <w:sz w:val="18"/>
          <w:szCs w:val="18"/>
        </w:rPr>
        <w:t xml:space="preserve"> </w:t>
      </w:r>
      <w:r w:rsidR="00B0562B">
        <w:rPr>
          <w:i/>
          <w:iCs/>
          <w:color w:val="F27900"/>
          <w:sz w:val="18"/>
          <w:szCs w:val="18"/>
        </w:rPr>
        <w:t>(valable pour une personne, pour la journée mentionnée sur votre invitation)</w:t>
      </w:r>
      <w:r w:rsidR="00B0562B">
        <w:rPr>
          <w:color w:val="F27900"/>
          <w:sz w:val="18"/>
          <w:szCs w:val="18"/>
        </w:rPr>
        <w:t> :</w:t>
      </w:r>
    </w:p>
    <w:p w14:paraId="3F85CA6D" w14:textId="12BE8AD5" w:rsidR="00951E8F" w:rsidRDefault="00B0562B" w:rsidP="00883D52">
      <w:pPr>
        <w:jc w:val="both"/>
        <w:rPr>
          <w:sz w:val="18"/>
          <w:szCs w:val="18"/>
        </w:rPr>
      </w:pPr>
      <w:bookmarkStart w:id="0" w:name="_Hlk115951133"/>
      <w:r>
        <w:rPr>
          <w:sz w:val="18"/>
          <w:szCs w:val="18"/>
        </w:rPr>
        <w:t>Pour faciliter l’envoi de vos</w:t>
      </w:r>
      <w:r w:rsidR="003D25EE">
        <w:rPr>
          <w:sz w:val="18"/>
          <w:szCs w:val="18"/>
        </w:rPr>
        <w:t xml:space="preserve"> </w:t>
      </w:r>
      <w:r>
        <w:rPr>
          <w:sz w:val="18"/>
          <w:szCs w:val="18"/>
        </w:rPr>
        <w:t>invitation</w:t>
      </w:r>
      <w:r w:rsidR="003D25EE">
        <w:rPr>
          <w:sz w:val="18"/>
          <w:szCs w:val="18"/>
        </w:rPr>
        <w:t>s</w:t>
      </w:r>
      <w:r>
        <w:rPr>
          <w:sz w:val="18"/>
          <w:szCs w:val="18"/>
        </w:rPr>
        <w:t xml:space="preserve"> à vos clients, une </w:t>
      </w:r>
      <w:r>
        <w:rPr>
          <w:b/>
          <w:bCs/>
          <w:sz w:val="18"/>
          <w:szCs w:val="18"/>
        </w:rPr>
        <w:t>billetterie dématérialisée</w:t>
      </w:r>
      <w:r>
        <w:rPr>
          <w:sz w:val="18"/>
          <w:szCs w:val="18"/>
        </w:rPr>
        <w:t xml:space="preserve"> a été mise en place. Le c</w:t>
      </w:r>
      <w:r w:rsidR="003D25EE">
        <w:rPr>
          <w:sz w:val="18"/>
          <w:szCs w:val="18"/>
        </w:rPr>
        <w:t>ode</w:t>
      </w:r>
      <w:r>
        <w:rPr>
          <w:sz w:val="18"/>
          <w:szCs w:val="18"/>
        </w:rPr>
        <w:t xml:space="preserve"> d’invitation doit </w:t>
      </w:r>
      <w:r>
        <w:rPr>
          <w:b/>
          <w:bCs/>
          <w:sz w:val="18"/>
          <w:szCs w:val="18"/>
        </w:rPr>
        <w:t>être validé</w:t>
      </w:r>
      <w:r>
        <w:rPr>
          <w:sz w:val="18"/>
          <w:szCs w:val="18"/>
        </w:rPr>
        <w:t xml:space="preserve"> sur </w:t>
      </w:r>
      <w:bookmarkEnd w:id="0"/>
      <w:r>
        <w:rPr>
          <w:sz w:val="18"/>
          <w:szCs w:val="18"/>
        </w:rPr>
        <w:t>le site Internet de l’Open Brest-Crédit Agricole, rubrique « Validation Invitations VIP ». Une fois sur la page concernée, un numéro vous sera demandé, cette suite de chiffres se trouve sur</w:t>
      </w:r>
      <w:r w:rsidR="003D25EE">
        <w:rPr>
          <w:sz w:val="18"/>
          <w:szCs w:val="18"/>
        </w:rPr>
        <w:t xml:space="preserve"> le document que vous avez reçu par mail</w:t>
      </w:r>
      <w:r>
        <w:rPr>
          <w:sz w:val="18"/>
          <w:szCs w:val="18"/>
        </w:rPr>
        <w:t xml:space="preserve">. Une fois le formulaire rempli, (veillez à bien remplir toutes les informations demandées), la validation sera effective et un e-billet (strictement personnel), sera généré et envoyé à l’adresse mail indiquée précédemment. </w:t>
      </w:r>
      <w:r w:rsidR="003D25EE">
        <w:rPr>
          <w:sz w:val="18"/>
          <w:szCs w:val="18"/>
        </w:rPr>
        <w:t>Sur présentation</w:t>
      </w:r>
      <w:r>
        <w:rPr>
          <w:sz w:val="18"/>
          <w:szCs w:val="18"/>
        </w:rPr>
        <w:t xml:space="preserve"> de votre E-billet</w:t>
      </w:r>
      <w:r w:rsidR="003D25EE">
        <w:rPr>
          <w:sz w:val="18"/>
          <w:szCs w:val="18"/>
        </w:rPr>
        <w:t xml:space="preserve"> </w:t>
      </w:r>
      <w:r>
        <w:rPr>
          <w:sz w:val="18"/>
          <w:szCs w:val="18"/>
        </w:rPr>
        <w:t xml:space="preserve">à l’accueil VIP, un bracelet vous sera remis, vous donnant </w:t>
      </w:r>
      <w:r w:rsidR="003D25EE">
        <w:rPr>
          <w:sz w:val="18"/>
          <w:szCs w:val="18"/>
        </w:rPr>
        <w:t>accès aux espaces VIP,</w:t>
      </w:r>
      <w:r>
        <w:rPr>
          <w:sz w:val="18"/>
          <w:szCs w:val="18"/>
        </w:rPr>
        <w:t xml:space="preserve"> au court central et </w:t>
      </w:r>
      <w:proofErr w:type="gramStart"/>
      <w:r>
        <w:rPr>
          <w:sz w:val="18"/>
          <w:szCs w:val="18"/>
        </w:rPr>
        <w:t>court annexe</w:t>
      </w:r>
      <w:proofErr w:type="gramEnd"/>
      <w:r>
        <w:rPr>
          <w:sz w:val="18"/>
          <w:szCs w:val="18"/>
        </w:rPr>
        <w:t>.</w:t>
      </w:r>
    </w:p>
    <w:p w14:paraId="7FCD1925" w14:textId="6DDC8276" w:rsidR="00883D52" w:rsidRPr="00883D52" w:rsidRDefault="00B0562B" w:rsidP="00883D52">
      <w:pPr>
        <w:jc w:val="both"/>
        <w:rPr>
          <w:sz w:val="18"/>
          <w:szCs w:val="18"/>
        </w:rPr>
      </w:pPr>
      <w:r w:rsidRPr="00883D52">
        <w:rPr>
          <w:b/>
          <w:bCs/>
          <w:color w:val="F27900"/>
          <w:sz w:val="16"/>
          <w:szCs w:val="16"/>
        </w:rPr>
        <w:br/>
      </w:r>
      <w:r>
        <w:rPr>
          <w:b/>
          <w:bCs/>
          <w:color w:val="F27900"/>
          <w:sz w:val="18"/>
          <w:szCs w:val="18"/>
        </w:rPr>
        <w:t>Badge VIP</w:t>
      </w:r>
      <w:r>
        <w:rPr>
          <w:color w:val="F27900"/>
          <w:sz w:val="18"/>
          <w:szCs w:val="18"/>
        </w:rPr>
        <w:t xml:space="preserve"> </w:t>
      </w:r>
      <w:r>
        <w:rPr>
          <w:i/>
          <w:iCs/>
          <w:color w:val="F27900"/>
          <w:sz w:val="18"/>
          <w:szCs w:val="18"/>
        </w:rPr>
        <w:t>(valable pour une personne toute la semaine, merci de bien vouloir le conserver)</w:t>
      </w:r>
      <w:r>
        <w:rPr>
          <w:color w:val="F27900"/>
          <w:sz w:val="18"/>
          <w:szCs w:val="18"/>
        </w:rPr>
        <w:t> :</w:t>
      </w:r>
    </w:p>
    <w:p w14:paraId="306FD234" w14:textId="64D8F56A" w:rsidR="0036345D" w:rsidRPr="00883D52" w:rsidRDefault="00883D52" w:rsidP="00883D52">
      <w:pPr>
        <w:jc w:val="both"/>
        <w:rPr>
          <w:color w:val="F27900"/>
          <w:sz w:val="18"/>
          <w:szCs w:val="18"/>
        </w:rPr>
      </w:pPr>
      <w:r>
        <w:rPr>
          <w:color w:val="F27900"/>
          <w:sz w:val="18"/>
          <w:szCs w:val="18"/>
        </w:rPr>
        <w:t xml:space="preserve"> </w:t>
      </w:r>
      <w:r>
        <w:rPr>
          <w:sz w:val="18"/>
          <w:szCs w:val="18"/>
        </w:rPr>
        <w:t xml:space="preserve">Tous les badges vous serons remis à partir du </w:t>
      </w:r>
      <w:r w:rsidR="003D25EE">
        <w:rPr>
          <w:sz w:val="18"/>
          <w:szCs w:val="18"/>
        </w:rPr>
        <w:t>lundi 24</w:t>
      </w:r>
      <w:r>
        <w:rPr>
          <w:sz w:val="18"/>
          <w:szCs w:val="18"/>
        </w:rPr>
        <w:t xml:space="preserve"> octobre à l’accueil VIP de </w:t>
      </w:r>
      <w:r w:rsidR="003D25EE">
        <w:rPr>
          <w:sz w:val="18"/>
          <w:szCs w:val="18"/>
        </w:rPr>
        <w:t xml:space="preserve">la </w:t>
      </w:r>
      <w:r>
        <w:rPr>
          <w:sz w:val="18"/>
          <w:szCs w:val="18"/>
        </w:rPr>
        <w:t>Brest Arena. Le jour de votre venue, présentez-vous à l’accueil VIP avec votre badge et les hôtesses vous remettront un bracelet pour pouvoir accéder :</w:t>
      </w:r>
      <w:r>
        <w:rPr>
          <w:sz w:val="18"/>
          <w:szCs w:val="18"/>
        </w:rPr>
        <w:tab/>
      </w:r>
      <w:r>
        <w:rPr>
          <w:sz w:val="18"/>
          <w:szCs w:val="18"/>
        </w:rPr>
        <w:br/>
        <w:t>- À la tribune VIP du court central et accès court annexe</w:t>
      </w:r>
      <w:r>
        <w:rPr>
          <w:sz w:val="18"/>
          <w:szCs w:val="18"/>
        </w:rPr>
        <w:tab/>
      </w:r>
      <w:r>
        <w:rPr>
          <w:sz w:val="18"/>
          <w:szCs w:val="18"/>
        </w:rPr>
        <w:br/>
        <w:t>- Au salon Open Bar à champagne</w:t>
      </w:r>
    </w:p>
    <w:p w14:paraId="18F69A33" w14:textId="724BD2EC" w:rsidR="00883D52" w:rsidRDefault="00B0562B">
      <w:pPr>
        <w:pStyle w:val="Default"/>
        <w:spacing w:after="131" w:line="276" w:lineRule="auto"/>
        <w:jc w:val="both"/>
        <w:rPr>
          <w:rFonts w:asciiTheme="minorHAnsi" w:hAnsiTheme="minorHAnsi" w:cstheme="minorHAnsi"/>
          <w:b/>
          <w:bCs/>
          <w:color w:val="FF0000"/>
          <w:sz w:val="18"/>
          <w:szCs w:val="18"/>
        </w:rPr>
      </w:pPr>
      <w:r>
        <w:rPr>
          <w:b/>
          <w:bCs/>
          <w:sz w:val="18"/>
          <w:szCs w:val="18"/>
        </w:rPr>
        <w:t>Tous les badges sont nominatifs, avec photos</w:t>
      </w:r>
      <w:r>
        <w:rPr>
          <w:sz w:val="18"/>
          <w:szCs w:val="18"/>
        </w:rPr>
        <w:t xml:space="preserve">. Vous pouvez dès à présent vous accréditer en ligne. Pour cela il vous suffit de vous rendre sur le lien suivant : </w:t>
      </w:r>
      <w:hyperlink r:id="rId7" w:history="1">
        <w:r>
          <w:rPr>
            <w:rStyle w:val="Lienhypertexte"/>
            <w:rFonts w:ascii="AppleSystemUIFont" w:hAnsi="AppleSystemUIFont" w:cs="AppleSystemUIFont"/>
            <w:sz w:val="18"/>
            <w:szCs w:val="18"/>
          </w:rPr>
          <w:t>http://opendebrest.accreditations.fr/</w:t>
        </w:r>
      </w:hyperlink>
      <w:r>
        <w:rPr>
          <w:rFonts w:ascii="AppleSystemUIFont" w:hAnsi="AppleSystemUIFont" w:cs="AppleSystemUIFont"/>
          <w:color w:val="353535"/>
          <w:sz w:val="18"/>
          <w:szCs w:val="18"/>
        </w:rPr>
        <w:t>.</w:t>
      </w:r>
      <w:r>
        <w:rPr>
          <w:rFonts w:ascii="AppleSystemUIFont" w:hAnsi="AppleSystemUIFont" w:cs="AppleSystemUIFont"/>
          <w:color w:val="353535"/>
          <w:sz w:val="18"/>
          <w:szCs w:val="18"/>
        </w:rPr>
        <w:br/>
      </w:r>
      <w:r>
        <w:rPr>
          <w:rFonts w:asciiTheme="minorHAnsi" w:hAnsiTheme="minorHAnsi" w:cstheme="minorHAnsi"/>
          <w:b/>
          <w:bCs/>
          <w:color w:val="FF0000"/>
          <w:sz w:val="16"/>
          <w:szCs w:val="16"/>
        </w:rPr>
        <w:t>ATTENTION : Afin d’assurer la disponibilité de votre badge, merci de bien vouloir vous enregistrer avant le 18/10. Si vous n’effectuez pas la demande de badge en amont, nous n’assurons pas une remise sur place en instantanée. Vous serez donc dans l’obligation d’attendre que nous l’éditions sur place. Tout badge sans photo envoyée à la date indiquée ne sera pas édité.</w:t>
      </w:r>
      <w:r>
        <w:rPr>
          <w:rFonts w:asciiTheme="minorHAnsi" w:hAnsiTheme="minorHAnsi" w:cstheme="minorHAnsi"/>
          <w:b/>
          <w:bCs/>
          <w:sz w:val="16"/>
          <w:szCs w:val="16"/>
        </w:rPr>
        <w:t xml:space="preserve"> </w:t>
      </w:r>
      <w:r>
        <w:rPr>
          <w:rFonts w:asciiTheme="minorHAnsi" w:hAnsiTheme="minorHAnsi" w:cstheme="minorHAnsi"/>
          <w:b/>
          <w:bCs/>
          <w:color w:val="FF0000"/>
          <w:sz w:val="16"/>
          <w:szCs w:val="16"/>
        </w:rPr>
        <w:t>Des informations complémentaires vous seront demandées pour constituer votre badge : nom, prénom, société</w:t>
      </w:r>
      <w:r>
        <w:rPr>
          <w:rFonts w:asciiTheme="minorHAnsi" w:hAnsiTheme="minorHAnsi" w:cstheme="minorHAnsi"/>
          <w:b/>
          <w:bCs/>
          <w:color w:val="FF0000"/>
          <w:sz w:val="16"/>
          <w:szCs w:val="16"/>
        </w:rPr>
        <w:tab/>
      </w:r>
    </w:p>
    <w:p w14:paraId="4CDFD794" w14:textId="375F5DBB" w:rsidR="0036345D" w:rsidRDefault="00B0562B">
      <w:pPr>
        <w:pStyle w:val="Default"/>
        <w:spacing w:after="131" w:line="276" w:lineRule="auto"/>
        <w:jc w:val="both"/>
        <w:rPr>
          <w:rFonts w:ascii="Helvetica Neue" w:hAnsi="Helvetica Neue" w:cstheme="minorHAnsi"/>
          <w:sz w:val="18"/>
          <w:szCs w:val="18"/>
        </w:rPr>
      </w:pPr>
      <w:r>
        <w:rPr>
          <w:b/>
          <w:bCs/>
          <w:color w:val="F27900"/>
          <w:sz w:val="18"/>
          <w:szCs w:val="18"/>
        </w:rPr>
        <w:br/>
      </w:r>
      <w:r w:rsidR="00677088">
        <w:rPr>
          <w:b/>
          <w:bCs/>
          <w:color w:val="F27900"/>
          <w:sz w:val="18"/>
          <w:szCs w:val="18"/>
        </w:rPr>
        <w:t>Invitation E-Billet</w:t>
      </w:r>
      <w:r>
        <w:rPr>
          <w:b/>
          <w:bCs/>
          <w:color w:val="F27900"/>
          <w:sz w:val="18"/>
          <w:szCs w:val="18"/>
        </w:rPr>
        <w:t xml:space="preserve"> Grand Public</w:t>
      </w:r>
      <w:r>
        <w:rPr>
          <w:color w:val="F27900"/>
          <w:sz w:val="18"/>
          <w:szCs w:val="18"/>
        </w:rPr>
        <w:t xml:space="preserve"> </w:t>
      </w:r>
      <w:r>
        <w:rPr>
          <w:i/>
          <w:iCs/>
          <w:color w:val="F27900"/>
          <w:sz w:val="18"/>
          <w:szCs w:val="18"/>
        </w:rPr>
        <w:t xml:space="preserve">(valable pour </w:t>
      </w:r>
      <w:r w:rsidR="003D25EE">
        <w:rPr>
          <w:i/>
          <w:iCs/>
          <w:color w:val="F27900"/>
          <w:sz w:val="18"/>
          <w:szCs w:val="18"/>
        </w:rPr>
        <w:t>une</w:t>
      </w:r>
      <w:r>
        <w:rPr>
          <w:i/>
          <w:iCs/>
          <w:color w:val="F27900"/>
          <w:sz w:val="18"/>
          <w:szCs w:val="18"/>
        </w:rPr>
        <w:t xml:space="preserve"> personne pour la journée mentionnée sur votre invitation)</w:t>
      </w:r>
      <w:r>
        <w:rPr>
          <w:color w:val="F27900"/>
          <w:sz w:val="18"/>
          <w:szCs w:val="18"/>
        </w:rPr>
        <w:t> :</w:t>
      </w:r>
      <w:r>
        <w:rPr>
          <w:color w:val="F27900"/>
          <w:sz w:val="18"/>
          <w:szCs w:val="18"/>
        </w:rPr>
        <w:tab/>
      </w:r>
      <w:r>
        <w:rPr>
          <w:color w:val="F27900"/>
          <w:sz w:val="18"/>
          <w:szCs w:val="18"/>
        </w:rPr>
        <w:br/>
      </w:r>
      <w:r w:rsidR="003D25EE">
        <w:rPr>
          <w:sz w:val="18"/>
          <w:szCs w:val="18"/>
        </w:rPr>
        <w:t xml:space="preserve">Pour faciliter l’envoi de vos invitations à vos clients, une </w:t>
      </w:r>
      <w:r w:rsidR="003D25EE">
        <w:rPr>
          <w:b/>
          <w:bCs/>
          <w:sz w:val="18"/>
          <w:szCs w:val="18"/>
        </w:rPr>
        <w:t>billetterie dématérialisée</w:t>
      </w:r>
      <w:r w:rsidR="003D25EE">
        <w:rPr>
          <w:sz w:val="18"/>
          <w:szCs w:val="18"/>
        </w:rPr>
        <w:t xml:space="preserve"> a été mise en place. Le code d’invitation doit </w:t>
      </w:r>
      <w:r w:rsidR="003D25EE">
        <w:rPr>
          <w:b/>
          <w:bCs/>
          <w:sz w:val="18"/>
          <w:szCs w:val="18"/>
        </w:rPr>
        <w:t>être validé</w:t>
      </w:r>
      <w:r w:rsidR="003D25EE">
        <w:rPr>
          <w:sz w:val="18"/>
          <w:szCs w:val="18"/>
        </w:rPr>
        <w:t xml:space="preserve"> sur le lien </w:t>
      </w:r>
      <w:hyperlink r:id="rId8" w:history="1">
        <w:r w:rsidR="003D25EE" w:rsidRPr="003D25EE">
          <w:rPr>
            <w:rStyle w:val="Lienhypertexte"/>
            <w:sz w:val="18"/>
            <w:szCs w:val="18"/>
          </w:rPr>
          <w:t>opendebrest.accreditations.fr/</w:t>
        </w:r>
        <w:proofErr w:type="spellStart"/>
        <w:r w:rsidR="003D25EE" w:rsidRPr="003D25EE">
          <w:rPr>
            <w:rStyle w:val="Lienhypertexte"/>
            <w:sz w:val="18"/>
            <w:szCs w:val="18"/>
          </w:rPr>
          <w:t>code.php</w:t>
        </w:r>
        <w:proofErr w:type="spellEnd"/>
      </w:hyperlink>
      <w:r w:rsidR="003D25EE">
        <w:rPr>
          <w:sz w:val="18"/>
          <w:szCs w:val="18"/>
        </w:rPr>
        <w:t>. Le e-billet généré</w:t>
      </w:r>
      <w:r>
        <w:rPr>
          <w:sz w:val="18"/>
          <w:szCs w:val="18"/>
        </w:rPr>
        <w:t xml:space="preserve"> est à présenter à l’accueil Grand Public </w:t>
      </w:r>
      <w:r>
        <w:rPr>
          <w:i/>
          <w:iCs/>
          <w:sz w:val="18"/>
          <w:szCs w:val="18"/>
        </w:rPr>
        <w:t>(côté tram)</w:t>
      </w:r>
      <w:r>
        <w:rPr>
          <w:sz w:val="18"/>
          <w:szCs w:val="18"/>
        </w:rPr>
        <w:t xml:space="preserve"> et vous donne accès au village, à la tribune Grand Public du court central et au court annexe</w:t>
      </w:r>
      <w:r>
        <w:rPr>
          <w:sz w:val="18"/>
          <w:szCs w:val="18"/>
        </w:rPr>
        <w:tab/>
      </w:r>
    </w:p>
    <w:p w14:paraId="7A9B9E0A" w14:textId="5A8AA9B0" w:rsidR="00951E8F" w:rsidRPr="00951E8F" w:rsidRDefault="00951E8F">
      <w:pPr>
        <w:jc w:val="both"/>
        <w:rPr>
          <w:sz w:val="18"/>
          <w:szCs w:val="18"/>
        </w:rPr>
      </w:pPr>
      <w:r>
        <w:rPr>
          <w:b/>
          <w:bCs/>
          <w:noProof/>
          <w:color w:val="4472C4" w:themeColor="accent1"/>
          <w:sz w:val="18"/>
          <w:szCs w:val="18"/>
          <w:u w:val="single"/>
          <w:lang w:eastAsia="fr-FR"/>
        </w:rPr>
        <w:drawing>
          <wp:anchor distT="0" distB="0" distL="114300" distR="114300" simplePos="0" relativeHeight="251662336" behindDoc="0" locked="0" layoutInCell="1" allowOverlap="1" wp14:anchorId="5E743EFF" wp14:editId="5A7D5A87">
            <wp:simplePos x="0" y="0"/>
            <wp:positionH relativeFrom="margin">
              <wp:posOffset>7943850</wp:posOffset>
            </wp:positionH>
            <wp:positionV relativeFrom="margin">
              <wp:posOffset>5999852</wp:posOffset>
            </wp:positionV>
            <wp:extent cx="1626870" cy="5461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Prieu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6870" cy="546100"/>
                    </a:xfrm>
                    <a:prstGeom prst="rect">
                      <a:avLst/>
                    </a:prstGeom>
                  </pic:spPr>
                </pic:pic>
              </a:graphicData>
            </a:graphic>
            <wp14:sizeRelH relativeFrom="margin">
              <wp14:pctWidth>0</wp14:pctWidth>
            </wp14:sizeRelH>
            <wp14:sizeRelV relativeFrom="margin">
              <wp14:pctHeight>0</wp14:pctHeight>
            </wp14:sizeRelV>
          </wp:anchor>
        </w:drawing>
      </w:r>
      <w:r>
        <w:rPr>
          <w:b/>
          <w:bCs/>
          <w:color w:val="4472C4" w:themeColor="accent1"/>
          <w:sz w:val="18"/>
          <w:szCs w:val="18"/>
          <w:u w:val="single"/>
        </w:rPr>
        <w:t>Salon VIP Open Bar à champagne :</w:t>
      </w:r>
      <w:r w:rsidR="00883D52" w:rsidRPr="00951E8F">
        <w:rPr>
          <w:b/>
          <w:bCs/>
          <w:color w:val="4472C4" w:themeColor="accent1"/>
          <w:sz w:val="18"/>
          <w:szCs w:val="18"/>
        </w:rPr>
        <w:t xml:space="preserve"> </w:t>
      </w:r>
      <w:r>
        <w:rPr>
          <w:sz w:val="18"/>
          <w:szCs w:val="18"/>
        </w:rPr>
        <w:t xml:space="preserve">Présentez-vous au salon avec votre </w:t>
      </w:r>
      <w:r>
        <w:rPr>
          <w:b/>
          <w:bCs/>
          <w:sz w:val="18"/>
          <w:szCs w:val="18"/>
        </w:rPr>
        <w:t>bracelet</w:t>
      </w:r>
      <w:r>
        <w:rPr>
          <w:sz w:val="18"/>
          <w:szCs w:val="18"/>
        </w:rPr>
        <w:t xml:space="preserve"> (un badge </w:t>
      </w:r>
      <w:r w:rsidR="003D25EE">
        <w:rPr>
          <w:sz w:val="18"/>
          <w:szCs w:val="18"/>
        </w:rPr>
        <w:t xml:space="preserve">ou e-billet </w:t>
      </w:r>
      <w:r>
        <w:rPr>
          <w:sz w:val="18"/>
          <w:szCs w:val="18"/>
        </w:rPr>
        <w:t>seul ne donne pas accès au salon). Le salon Open Bar est ouvert ½ heure avant le début des matchs et jusqu’à la fin des matchs au minimum.</w:t>
      </w:r>
    </w:p>
    <w:p w14:paraId="56A88A09" w14:textId="2E968900" w:rsidR="0036345D" w:rsidRPr="00951E8F" w:rsidRDefault="00951E8F" w:rsidP="00951E8F">
      <w:pPr>
        <w:jc w:val="both"/>
        <w:rPr>
          <w:b/>
          <w:bCs/>
          <w:color w:val="4472C4" w:themeColor="accent1"/>
          <w:sz w:val="18"/>
          <w:szCs w:val="18"/>
          <w:u w:val="single"/>
        </w:rPr>
      </w:pPr>
      <w:r>
        <w:rPr>
          <w:b/>
          <w:bCs/>
          <w:color w:val="4472C4" w:themeColor="accent1"/>
          <w:sz w:val="18"/>
          <w:szCs w:val="18"/>
          <w:u w:val="single"/>
        </w:rPr>
        <w:t>Restauration partenaires :</w:t>
      </w:r>
      <w:r w:rsidRPr="00951E8F">
        <w:rPr>
          <w:b/>
          <w:bCs/>
          <w:color w:val="4472C4" w:themeColor="accent1"/>
          <w:sz w:val="18"/>
          <w:szCs w:val="18"/>
        </w:rPr>
        <w:t xml:space="preserve"> </w:t>
      </w:r>
      <w:r>
        <w:rPr>
          <w:sz w:val="18"/>
          <w:szCs w:val="18"/>
        </w:rPr>
        <w:t xml:space="preserve">Une restauration sera proposée midi et soir au restaurant de l’Open Brest-Crédit Agricole. </w:t>
      </w:r>
      <w:r>
        <w:rPr>
          <w:i/>
          <w:iCs/>
          <w:sz w:val="18"/>
          <w:szCs w:val="18"/>
        </w:rPr>
        <w:t>Pas de restauration le samedi 29 et dimanche 30 octobre soirs (fin des matchs vers 18h).</w:t>
      </w:r>
      <w:r w:rsidR="00883D52">
        <w:rPr>
          <w:i/>
          <w:iCs/>
          <w:sz w:val="18"/>
          <w:szCs w:val="18"/>
        </w:rPr>
        <w:t xml:space="preserve"> </w:t>
      </w:r>
      <w:r>
        <w:rPr>
          <w:sz w:val="18"/>
          <w:szCs w:val="18"/>
        </w:rPr>
        <w:t>Des écrans de diffusion des matchs sont installés dans le restaurant ainsi que le restaurant des joueurs. Déjeuner et dîner sur réservation, auprès de l’équipe des jardins (Les Jardins du Prieuré) au 02 98 66 34 41 ou 06 38 20 85 41 (merci de préciser le nom de l’entreprise lors de votre réservation).</w:t>
      </w:r>
      <w:r>
        <w:rPr>
          <w:b/>
          <w:bCs/>
          <w:noProof/>
          <w:color w:val="C00000"/>
          <w:sz w:val="18"/>
          <w:szCs w:val="18"/>
        </w:rPr>
        <w:t xml:space="preserve"> </w:t>
      </w:r>
    </w:p>
    <w:p w14:paraId="1AC458C8" w14:textId="77777777" w:rsidR="0036345D" w:rsidRDefault="0036345D">
      <w:pPr>
        <w:jc w:val="center"/>
        <w:rPr>
          <w:b/>
          <w:bCs/>
          <w:color w:val="4472C4" w:themeColor="accent1"/>
          <w:sz w:val="18"/>
          <w:szCs w:val="18"/>
        </w:rPr>
      </w:pPr>
    </w:p>
    <w:p w14:paraId="798EBE81" w14:textId="77777777" w:rsidR="0036345D" w:rsidRDefault="00B0562B">
      <w:pPr>
        <w:jc w:val="center"/>
        <w:rPr>
          <w:color w:val="4472C4" w:themeColor="accent1"/>
          <w:sz w:val="36"/>
          <w:szCs w:val="36"/>
        </w:rPr>
      </w:pPr>
      <w:r>
        <w:rPr>
          <w:b/>
          <w:bCs/>
          <w:color w:val="4472C4" w:themeColor="accent1"/>
          <w:sz w:val="36"/>
          <w:szCs w:val="36"/>
        </w:rPr>
        <w:t>AUTRES INFORMATIONS</w:t>
      </w:r>
    </w:p>
    <w:p w14:paraId="742F507F" w14:textId="77777777" w:rsidR="0036345D" w:rsidRDefault="00B0562B">
      <w:pPr>
        <w:jc w:val="both"/>
        <w:rPr>
          <w:b/>
          <w:bCs/>
          <w:color w:val="4472C4" w:themeColor="accent1"/>
          <w:sz w:val="18"/>
          <w:szCs w:val="18"/>
          <w:u w:val="single"/>
        </w:rPr>
      </w:pPr>
      <w:r>
        <w:rPr>
          <w:b/>
          <w:bCs/>
          <w:color w:val="4472C4" w:themeColor="accent1"/>
          <w:sz w:val="18"/>
          <w:szCs w:val="18"/>
          <w:u w:val="single"/>
        </w:rPr>
        <w:t>Programme événementiel partenaires :</w:t>
      </w:r>
    </w:p>
    <w:p w14:paraId="56301F3B" w14:textId="5E12DC73" w:rsidR="0036345D" w:rsidRDefault="005A4662">
      <w:pPr>
        <w:jc w:val="both"/>
        <w:rPr>
          <w:sz w:val="18"/>
          <w:szCs w:val="18"/>
        </w:rPr>
      </w:pPr>
      <w:r w:rsidRPr="00883D52">
        <w:rPr>
          <w:b/>
          <w:bCs/>
          <w:noProof/>
          <w:color w:val="C00000"/>
          <w:sz w:val="18"/>
          <w:szCs w:val="18"/>
          <w:lang w:eastAsia="fr-FR"/>
        </w:rPr>
        <w:drawing>
          <wp:anchor distT="0" distB="0" distL="114300" distR="114300" simplePos="0" relativeHeight="251663360" behindDoc="0" locked="0" layoutInCell="1" allowOverlap="1" wp14:anchorId="4D8F7E12" wp14:editId="3C655488">
            <wp:simplePos x="0" y="0"/>
            <wp:positionH relativeFrom="margin">
              <wp:posOffset>6185535</wp:posOffset>
            </wp:positionH>
            <wp:positionV relativeFrom="margin">
              <wp:posOffset>1270526</wp:posOffset>
            </wp:positionV>
            <wp:extent cx="2743200" cy="274320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noir-OPEN-BRES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14:sizeRelH relativeFrom="margin">
              <wp14:pctWidth>0</wp14:pctWidth>
            </wp14:sizeRelH>
            <wp14:sizeRelV relativeFrom="margin">
              <wp14:pctHeight>0</wp14:pctHeight>
            </wp14:sizeRelV>
          </wp:anchor>
        </w:drawing>
      </w:r>
      <w:r>
        <w:rPr>
          <w:sz w:val="18"/>
          <w:szCs w:val="18"/>
        </w:rPr>
        <w:t>Au sein du salon VIP Open Bar, chaque invité muni d’un accès VIP peut participer aux événements organisés en parallèle du tournoi. Autant de moments pour faire vivre le Club des Partenaires, parfois même en compagnie des joueurs du tournoi. Prenez date !</w:t>
      </w:r>
    </w:p>
    <w:p w14:paraId="0F2B0775" w14:textId="4D3DFCAA" w:rsidR="0036345D" w:rsidRPr="00883D52" w:rsidRDefault="00B0562B">
      <w:pPr>
        <w:pStyle w:val="Paragraphedeliste"/>
        <w:numPr>
          <w:ilvl w:val="0"/>
          <w:numId w:val="3"/>
        </w:numPr>
        <w:spacing w:after="0"/>
        <w:jc w:val="both"/>
        <w:rPr>
          <w:b/>
          <w:bCs/>
          <w:color w:val="F27900"/>
          <w:sz w:val="18"/>
          <w:szCs w:val="18"/>
        </w:rPr>
      </w:pPr>
      <w:r w:rsidRPr="00883D52">
        <w:rPr>
          <w:b/>
          <w:bCs/>
          <w:color w:val="F27900"/>
          <w:sz w:val="18"/>
          <w:szCs w:val="18"/>
        </w:rPr>
        <w:t xml:space="preserve">Lundi 24 octobre – 20h : </w:t>
      </w:r>
    </w:p>
    <w:p w14:paraId="7947181C" w14:textId="3F2F2EBF" w:rsidR="00883D52" w:rsidRPr="00A77E7D" w:rsidRDefault="00883D52">
      <w:pPr>
        <w:pStyle w:val="Paragraphedeliste"/>
        <w:numPr>
          <w:ilvl w:val="4"/>
          <w:numId w:val="3"/>
        </w:numPr>
        <w:spacing w:after="0"/>
        <w:jc w:val="both"/>
        <w:rPr>
          <w:bCs/>
          <w:color w:val="F27900"/>
          <w:sz w:val="18"/>
          <w:szCs w:val="18"/>
        </w:rPr>
      </w:pPr>
      <w:r w:rsidRPr="00A77E7D">
        <w:rPr>
          <w:bCs/>
          <w:color w:val="F27900"/>
          <w:sz w:val="18"/>
          <w:szCs w:val="18"/>
        </w:rPr>
        <w:t>Ateliers dégustations</w:t>
      </w:r>
    </w:p>
    <w:p w14:paraId="7C43FAB6" w14:textId="1538FE41" w:rsidR="00883D52" w:rsidRDefault="00B0562B" w:rsidP="00883D52">
      <w:pPr>
        <w:pStyle w:val="Paragraphedeliste"/>
        <w:numPr>
          <w:ilvl w:val="4"/>
          <w:numId w:val="3"/>
        </w:numPr>
        <w:spacing w:after="0"/>
        <w:jc w:val="both"/>
        <w:rPr>
          <w:bCs/>
          <w:color w:val="F27900"/>
          <w:sz w:val="18"/>
          <w:szCs w:val="18"/>
        </w:rPr>
      </w:pPr>
      <w:r w:rsidRPr="00A77E7D">
        <w:rPr>
          <w:bCs/>
          <w:color w:val="F27900"/>
          <w:sz w:val="18"/>
          <w:szCs w:val="18"/>
        </w:rPr>
        <w:t xml:space="preserve">Présence Lionel </w:t>
      </w:r>
      <w:proofErr w:type="spellStart"/>
      <w:r w:rsidRPr="00A77E7D">
        <w:rPr>
          <w:bCs/>
          <w:color w:val="F27900"/>
          <w:sz w:val="18"/>
          <w:szCs w:val="18"/>
        </w:rPr>
        <w:t>Chamoulaud</w:t>
      </w:r>
      <w:proofErr w:type="spellEnd"/>
    </w:p>
    <w:p w14:paraId="3E817351" w14:textId="77777777" w:rsidR="00A77E7D" w:rsidRPr="00A77E7D" w:rsidRDefault="00A77E7D" w:rsidP="00A77E7D">
      <w:pPr>
        <w:pStyle w:val="Paragraphedeliste"/>
        <w:spacing w:after="0"/>
        <w:ind w:left="3600"/>
        <w:jc w:val="both"/>
        <w:rPr>
          <w:bCs/>
          <w:color w:val="F27900"/>
          <w:sz w:val="18"/>
          <w:szCs w:val="18"/>
        </w:rPr>
      </w:pPr>
    </w:p>
    <w:p w14:paraId="1ADCE4E1" w14:textId="7558EB72" w:rsidR="0036345D" w:rsidRPr="00883D52" w:rsidRDefault="00B0562B" w:rsidP="00883D52">
      <w:pPr>
        <w:pStyle w:val="Paragraphedeliste"/>
        <w:numPr>
          <w:ilvl w:val="0"/>
          <w:numId w:val="3"/>
        </w:numPr>
        <w:jc w:val="both"/>
        <w:rPr>
          <w:b/>
          <w:bCs/>
          <w:color w:val="F27900"/>
          <w:sz w:val="18"/>
          <w:szCs w:val="18"/>
        </w:rPr>
      </w:pPr>
      <w:r w:rsidRPr="00883D52">
        <w:rPr>
          <w:b/>
          <w:bCs/>
          <w:color w:val="F27900"/>
          <w:sz w:val="18"/>
          <w:szCs w:val="18"/>
        </w:rPr>
        <w:t xml:space="preserve">Mardi 25 octobre – 20h : </w:t>
      </w:r>
    </w:p>
    <w:p w14:paraId="4BD022BD" w14:textId="77777777" w:rsidR="00883D52" w:rsidRPr="00A77E7D" w:rsidRDefault="00883D52">
      <w:pPr>
        <w:pStyle w:val="Paragraphedeliste"/>
        <w:numPr>
          <w:ilvl w:val="4"/>
          <w:numId w:val="3"/>
        </w:numPr>
        <w:spacing w:after="0"/>
        <w:jc w:val="both"/>
        <w:rPr>
          <w:bCs/>
          <w:color w:val="F27900"/>
          <w:sz w:val="18"/>
          <w:szCs w:val="18"/>
        </w:rPr>
      </w:pPr>
      <w:r w:rsidRPr="00A77E7D">
        <w:rPr>
          <w:bCs/>
          <w:color w:val="F27900"/>
          <w:sz w:val="18"/>
          <w:szCs w:val="18"/>
        </w:rPr>
        <w:t xml:space="preserve">Atelier Dégustation de sushis </w:t>
      </w:r>
    </w:p>
    <w:p w14:paraId="18EE37AA" w14:textId="27F9D821" w:rsidR="00883D52" w:rsidRDefault="00B0562B" w:rsidP="00883D52">
      <w:pPr>
        <w:pStyle w:val="Paragraphedeliste"/>
        <w:numPr>
          <w:ilvl w:val="4"/>
          <w:numId w:val="3"/>
        </w:numPr>
        <w:spacing w:after="0"/>
        <w:jc w:val="both"/>
        <w:rPr>
          <w:bCs/>
          <w:color w:val="F27900"/>
          <w:sz w:val="18"/>
          <w:szCs w:val="18"/>
        </w:rPr>
      </w:pPr>
      <w:r w:rsidRPr="00A77E7D">
        <w:rPr>
          <w:bCs/>
          <w:color w:val="F27900"/>
          <w:sz w:val="18"/>
          <w:szCs w:val="18"/>
        </w:rPr>
        <w:t>Dégustation « La Chablisienne »</w:t>
      </w:r>
    </w:p>
    <w:p w14:paraId="36E53119" w14:textId="41230BB3" w:rsidR="00D36B4A" w:rsidRDefault="00D36B4A" w:rsidP="00883D52">
      <w:pPr>
        <w:pStyle w:val="Paragraphedeliste"/>
        <w:numPr>
          <w:ilvl w:val="4"/>
          <w:numId w:val="3"/>
        </w:numPr>
        <w:spacing w:after="0"/>
        <w:jc w:val="both"/>
        <w:rPr>
          <w:bCs/>
          <w:color w:val="F27900"/>
          <w:sz w:val="18"/>
          <w:szCs w:val="18"/>
        </w:rPr>
      </w:pPr>
      <w:r>
        <w:rPr>
          <w:bCs/>
          <w:color w:val="F27900"/>
          <w:sz w:val="18"/>
          <w:szCs w:val="18"/>
        </w:rPr>
        <w:t>Dégustation « Sushi nomade »</w:t>
      </w:r>
    </w:p>
    <w:p w14:paraId="0699348B" w14:textId="77777777" w:rsidR="00A77E7D" w:rsidRPr="00A77E7D" w:rsidRDefault="00A77E7D" w:rsidP="00A77E7D">
      <w:pPr>
        <w:pStyle w:val="Paragraphedeliste"/>
        <w:spacing w:after="0"/>
        <w:ind w:left="3600"/>
        <w:jc w:val="both"/>
        <w:rPr>
          <w:bCs/>
          <w:color w:val="F27900"/>
          <w:sz w:val="18"/>
          <w:szCs w:val="18"/>
        </w:rPr>
      </w:pPr>
    </w:p>
    <w:p w14:paraId="0E20E548" w14:textId="545340EA" w:rsidR="00883D52" w:rsidRPr="00883D52" w:rsidRDefault="00B0562B" w:rsidP="00883D52">
      <w:pPr>
        <w:pStyle w:val="Paragraphedeliste"/>
        <w:numPr>
          <w:ilvl w:val="0"/>
          <w:numId w:val="3"/>
        </w:numPr>
        <w:spacing w:after="0"/>
        <w:jc w:val="both"/>
        <w:rPr>
          <w:b/>
          <w:bCs/>
          <w:color w:val="F27900"/>
          <w:sz w:val="18"/>
          <w:szCs w:val="18"/>
        </w:rPr>
      </w:pPr>
      <w:r w:rsidRPr="00883D52">
        <w:rPr>
          <w:b/>
          <w:bCs/>
          <w:color w:val="F27900"/>
          <w:sz w:val="18"/>
          <w:szCs w:val="18"/>
        </w:rPr>
        <w:t xml:space="preserve">Mercredi 26 octobre – 20h : </w:t>
      </w:r>
      <w:r w:rsidR="00883D52" w:rsidRPr="00883D52">
        <w:rPr>
          <w:b/>
          <w:bCs/>
          <w:color w:val="F27900"/>
          <w:sz w:val="18"/>
          <w:szCs w:val="18"/>
        </w:rPr>
        <w:tab/>
      </w:r>
    </w:p>
    <w:p w14:paraId="7C289C73" w14:textId="286372B9" w:rsidR="00883D52" w:rsidRPr="00A77E7D" w:rsidRDefault="00883D52">
      <w:pPr>
        <w:pStyle w:val="Paragraphedeliste"/>
        <w:numPr>
          <w:ilvl w:val="4"/>
          <w:numId w:val="3"/>
        </w:numPr>
        <w:spacing w:after="0"/>
        <w:jc w:val="both"/>
        <w:rPr>
          <w:bCs/>
          <w:color w:val="F27900"/>
          <w:sz w:val="18"/>
          <w:szCs w:val="18"/>
        </w:rPr>
      </w:pPr>
      <w:r w:rsidRPr="00A77E7D">
        <w:rPr>
          <w:bCs/>
          <w:color w:val="F27900"/>
          <w:sz w:val="18"/>
          <w:szCs w:val="18"/>
        </w:rPr>
        <w:t>Ventes aux enchères à 18H30</w:t>
      </w:r>
    </w:p>
    <w:p w14:paraId="3B20AC7D" w14:textId="09903407" w:rsidR="0036345D" w:rsidRPr="00A77E7D" w:rsidRDefault="00B0562B">
      <w:pPr>
        <w:pStyle w:val="Paragraphedeliste"/>
        <w:numPr>
          <w:ilvl w:val="4"/>
          <w:numId w:val="3"/>
        </w:numPr>
        <w:spacing w:after="0"/>
        <w:jc w:val="both"/>
        <w:rPr>
          <w:bCs/>
          <w:color w:val="F27900"/>
          <w:sz w:val="18"/>
          <w:szCs w:val="18"/>
        </w:rPr>
      </w:pPr>
      <w:r w:rsidRPr="00A77E7D">
        <w:rPr>
          <w:bCs/>
          <w:color w:val="F27900"/>
          <w:sz w:val="18"/>
          <w:szCs w:val="18"/>
        </w:rPr>
        <w:t>Présence Gérard Holtz</w:t>
      </w:r>
    </w:p>
    <w:p w14:paraId="6F85F825" w14:textId="77777777" w:rsidR="0036345D" w:rsidRPr="00A77E7D" w:rsidRDefault="00B0562B">
      <w:pPr>
        <w:pStyle w:val="Paragraphedeliste"/>
        <w:numPr>
          <w:ilvl w:val="4"/>
          <w:numId w:val="3"/>
        </w:numPr>
        <w:spacing w:after="0"/>
        <w:jc w:val="both"/>
        <w:rPr>
          <w:bCs/>
          <w:color w:val="F27900"/>
          <w:sz w:val="18"/>
          <w:szCs w:val="18"/>
        </w:rPr>
      </w:pPr>
      <w:r w:rsidRPr="00A77E7D">
        <w:rPr>
          <w:bCs/>
          <w:color w:val="F27900"/>
          <w:sz w:val="18"/>
          <w:szCs w:val="18"/>
        </w:rPr>
        <w:t>Dégustation « La Chablisienne »</w:t>
      </w:r>
    </w:p>
    <w:p w14:paraId="7CC07D67" w14:textId="7B8E5A31" w:rsidR="00883D52" w:rsidRPr="00A77E7D" w:rsidRDefault="00B0562B" w:rsidP="00883D52">
      <w:pPr>
        <w:pStyle w:val="Paragraphedeliste"/>
        <w:numPr>
          <w:ilvl w:val="4"/>
          <w:numId w:val="3"/>
        </w:numPr>
        <w:spacing w:after="0"/>
        <w:jc w:val="both"/>
        <w:rPr>
          <w:b/>
          <w:bCs/>
          <w:color w:val="F27900"/>
          <w:sz w:val="18"/>
          <w:szCs w:val="18"/>
        </w:rPr>
      </w:pPr>
      <w:r w:rsidRPr="00A77E7D">
        <w:rPr>
          <w:bCs/>
          <w:color w:val="F27900"/>
          <w:sz w:val="18"/>
          <w:szCs w:val="18"/>
        </w:rPr>
        <w:t>Dégustation foie gras avec « Comtesse du Barry »</w:t>
      </w:r>
    </w:p>
    <w:p w14:paraId="46DC258C" w14:textId="77777777" w:rsidR="00A77E7D" w:rsidRPr="00883D52" w:rsidRDefault="00A77E7D" w:rsidP="00A77E7D">
      <w:pPr>
        <w:pStyle w:val="Paragraphedeliste"/>
        <w:spacing w:after="0"/>
        <w:ind w:left="3600"/>
        <w:jc w:val="both"/>
        <w:rPr>
          <w:b/>
          <w:bCs/>
          <w:color w:val="F27900"/>
          <w:sz w:val="18"/>
          <w:szCs w:val="18"/>
        </w:rPr>
      </w:pPr>
    </w:p>
    <w:p w14:paraId="282B7DCC" w14:textId="26753DF0" w:rsidR="0036345D" w:rsidRPr="00883D52" w:rsidRDefault="00B0562B">
      <w:pPr>
        <w:pStyle w:val="Paragraphedeliste"/>
        <w:numPr>
          <w:ilvl w:val="0"/>
          <w:numId w:val="3"/>
        </w:numPr>
        <w:spacing w:after="0"/>
        <w:jc w:val="both"/>
        <w:rPr>
          <w:b/>
          <w:bCs/>
          <w:color w:val="F27900"/>
          <w:sz w:val="18"/>
          <w:szCs w:val="18"/>
        </w:rPr>
      </w:pPr>
      <w:r w:rsidRPr="00883D52">
        <w:rPr>
          <w:b/>
          <w:bCs/>
          <w:color w:val="F27900"/>
          <w:sz w:val="18"/>
          <w:szCs w:val="18"/>
        </w:rPr>
        <w:t xml:space="preserve">Jeudi 27 octobre – à partir de 20h : </w:t>
      </w:r>
    </w:p>
    <w:p w14:paraId="74FA4F8F" w14:textId="71460686" w:rsidR="00883D52" w:rsidRPr="00A77E7D" w:rsidRDefault="00883D52">
      <w:pPr>
        <w:pStyle w:val="Paragraphedeliste"/>
        <w:numPr>
          <w:ilvl w:val="4"/>
          <w:numId w:val="3"/>
        </w:numPr>
        <w:spacing w:after="0"/>
        <w:jc w:val="both"/>
        <w:rPr>
          <w:bCs/>
          <w:color w:val="F27900"/>
          <w:sz w:val="18"/>
          <w:szCs w:val="18"/>
        </w:rPr>
      </w:pPr>
      <w:r w:rsidRPr="00A77E7D">
        <w:rPr>
          <w:bCs/>
          <w:color w:val="F27900"/>
          <w:sz w:val="18"/>
          <w:szCs w:val="18"/>
        </w:rPr>
        <w:t>Ateliers dégustations</w:t>
      </w:r>
    </w:p>
    <w:p w14:paraId="189B75DE" w14:textId="7884AEA3" w:rsidR="00883D52" w:rsidRDefault="00B0562B" w:rsidP="00883D52">
      <w:pPr>
        <w:pStyle w:val="Paragraphedeliste"/>
        <w:numPr>
          <w:ilvl w:val="4"/>
          <w:numId w:val="3"/>
        </w:numPr>
        <w:spacing w:after="0"/>
        <w:jc w:val="both"/>
        <w:rPr>
          <w:bCs/>
          <w:color w:val="F27900"/>
          <w:sz w:val="18"/>
          <w:szCs w:val="18"/>
        </w:rPr>
      </w:pPr>
      <w:r w:rsidRPr="00A77E7D">
        <w:rPr>
          <w:bCs/>
          <w:color w:val="F27900"/>
          <w:sz w:val="18"/>
          <w:szCs w:val="18"/>
        </w:rPr>
        <w:t xml:space="preserve">Dj SET avec Mathieu Bouthier </w:t>
      </w:r>
    </w:p>
    <w:p w14:paraId="152C908A" w14:textId="4BCE6721" w:rsidR="00D36B4A" w:rsidRDefault="00D36B4A" w:rsidP="00883D52">
      <w:pPr>
        <w:pStyle w:val="Paragraphedeliste"/>
        <w:numPr>
          <w:ilvl w:val="4"/>
          <w:numId w:val="3"/>
        </w:numPr>
        <w:spacing w:after="0"/>
        <w:jc w:val="both"/>
        <w:rPr>
          <w:bCs/>
          <w:color w:val="F27900"/>
          <w:sz w:val="18"/>
          <w:szCs w:val="18"/>
        </w:rPr>
      </w:pPr>
      <w:r>
        <w:rPr>
          <w:bCs/>
          <w:color w:val="F27900"/>
          <w:sz w:val="18"/>
          <w:szCs w:val="18"/>
        </w:rPr>
        <w:t>Dégustation « </w:t>
      </w:r>
      <w:proofErr w:type="spellStart"/>
      <w:r>
        <w:rPr>
          <w:bCs/>
          <w:color w:val="F27900"/>
          <w:sz w:val="18"/>
          <w:szCs w:val="18"/>
        </w:rPr>
        <w:t>Waffle</w:t>
      </w:r>
      <w:proofErr w:type="spellEnd"/>
      <w:r>
        <w:rPr>
          <w:bCs/>
          <w:color w:val="F27900"/>
          <w:sz w:val="18"/>
          <w:szCs w:val="18"/>
        </w:rPr>
        <w:t xml:space="preserve"> Garden » </w:t>
      </w:r>
    </w:p>
    <w:p w14:paraId="1F2AC534" w14:textId="77777777" w:rsidR="00A77E7D" w:rsidRPr="00A77E7D" w:rsidRDefault="00A77E7D" w:rsidP="00A77E7D">
      <w:pPr>
        <w:pStyle w:val="Paragraphedeliste"/>
        <w:spacing w:after="0"/>
        <w:ind w:left="3600"/>
        <w:jc w:val="both"/>
        <w:rPr>
          <w:bCs/>
          <w:color w:val="F27900"/>
          <w:sz w:val="18"/>
          <w:szCs w:val="18"/>
        </w:rPr>
      </w:pPr>
    </w:p>
    <w:p w14:paraId="09E09958" w14:textId="3774D851" w:rsidR="0036345D" w:rsidRPr="00883D52" w:rsidRDefault="00B0562B">
      <w:pPr>
        <w:pStyle w:val="Paragraphedeliste"/>
        <w:numPr>
          <w:ilvl w:val="0"/>
          <w:numId w:val="3"/>
        </w:numPr>
        <w:spacing w:after="0"/>
        <w:jc w:val="both"/>
        <w:rPr>
          <w:b/>
          <w:bCs/>
          <w:color w:val="F27900"/>
          <w:sz w:val="18"/>
          <w:szCs w:val="18"/>
        </w:rPr>
      </w:pPr>
      <w:r w:rsidRPr="00883D52">
        <w:rPr>
          <w:b/>
          <w:bCs/>
          <w:color w:val="F27900"/>
          <w:sz w:val="18"/>
          <w:szCs w:val="18"/>
        </w:rPr>
        <w:t>Vendredi 28 octobre – à partir de 20h :</w:t>
      </w:r>
      <w:r w:rsidR="00883D52">
        <w:rPr>
          <w:b/>
          <w:bCs/>
          <w:color w:val="F27900"/>
          <w:sz w:val="18"/>
          <w:szCs w:val="18"/>
        </w:rPr>
        <w:t xml:space="preserve"> </w:t>
      </w:r>
    </w:p>
    <w:p w14:paraId="198EC91B" w14:textId="492EA176" w:rsidR="00883D52" w:rsidRPr="00A77E7D" w:rsidRDefault="00883D52">
      <w:pPr>
        <w:pStyle w:val="Paragraphedeliste"/>
        <w:numPr>
          <w:ilvl w:val="4"/>
          <w:numId w:val="3"/>
        </w:numPr>
        <w:spacing w:after="0"/>
        <w:jc w:val="both"/>
        <w:rPr>
          <w:bCs/>
          <w:color w:val="F27900"/>
          <w:sz w:val="18"/>
          <w:szCs w:val="18"/>
        </w:rPr>
      </w:pPr>
      <w:r w:rsidRPr="00A77E7D">
        <w:rPr>
          <w:bCs/>
          <w:color w:val="F27900"/>
          <w:sz w:val="18"/>
          <w:szCs w:val="18"/>
        </w:rPr>
        <w:t>Ateliers dégustations</w:t>
      </w:r>
    </w:p>
    <w:p w14:paraId="365E2F5F" w14:textId="2F2AFBA8" w:rsidR="00883D52" w:rsidRDefault="00B0562B" w:rsidP="00883D52">
      <w:pPr>
        <w:pStyle w:val="Paragraphedeliste"/>
        <w:numPr>
          <w:ilvl w:val="4"/>
          <w:numId w:val="3"/>
        </w:numPr>
        <w:spacing w:after="0"/>
        <w:jc w:val="both"/>
        <w:rPr>
          <w:bCs/>
          <w:color w:val="F27900"/>
          <w:sz w:val="18"/>
          <w:szCs w:val="18"/>
        </w:rPr>
      </w:pPr>
      <w:r w:rsidRPr="00A77E7D">
        <w:rPr>
          <w:bCs/>
          <w:color w:val="F27900"/>
          <w:sz w:val="18"/>
          <w:szCs w:val="18"/>
        </w:rPr>
        <w:t xml:space="preserve">Dj SET avec Mathieu Bouthier </w:t>
      </w:r>
    </w:p>
    <w:p w14:paraId="1606D51F" w14:textId="77777777" w:rsidR="00A77E7D" w:rsidRPr="00A77E7D" w:rsidRDefault="00A77E7D" w:rsidP="00A77E7D">
      <w:pPr>
        <w:pStyle w:val="Paragraphedeliste"/>
        <w:spacing w:after="0"/>
        <w:ind w:left="3600"/>
        <w:jc w:val="both"/>
        <w:rPr>
          <w:bCs/>
          <w:color w:val="F27900"/>
          <w:sz w:val="18"/>
          <w:szCs w:val="18"/>
        </w:rPr>
      </w:pPr>
    </w:p>
    <w:p w14:paraId="0460124D" w14:textId="77777777" w:rsidR="00A77E7D" w:rsidRDefault="00B0562B" w:rsidP="00A77E7D">
      <w:pPr>
        <w:pStyle w:val="Paragraphedeliste"/>
        <w:numPr>
          <w:ilvl w:val="0"/>
          <w:numId w:val="3"/>
        </w:numPr>
        <w:spacing w:after="0"/>
        <w:jc w:val="both"/>
        <w:rPr>
          <w:b/>
          <w:bCs/>
          <w:color w:val="F27900"/>
          <w:sz w:val="18"/>
          <w:szCs w:val="18"/>
        </w:rPr>
      </w:pPr>
      <w:r w:rsidRPr="00883D52">
        <w:rPr>
          <w:b/>
          <w:bCs/>
          <w:color w:val="F27900"/>
          <w:sz w:val="18"/>
          <w:szCs w:val="18"/>
        </w:rPr>
        <w:t>Dimanche 30 octobre – à partir de 9h : Tournoi des Partenaires</w:t>
      </w:r>
    </w:p>
    <w:p w14:paraId="05FA0315" w14:textId="74AABC35" w:rsidR="00883D52" w:rsidRPr="00A77E7D" w:rsidRDefault="00B0562B" w:rsidP="00A77E7D">
      <w:pPr>
        <w:pStyle w:val="Paragraphedeliste"/>
        <w:spacing w:after="0"/>
        <w:jc w:val="both"/>
        <w:rPr>
          <w:b/>
          <w:bCs/>
          <w:color w:val="F27900"/>
          <w:sz w:val="18"/>
          <w:szCs w:val="18"/>
        </w:rPr>
      </w:pPr>
      <w:r w:rsidRPr="00883D52">
        <w:rPr>
          <w:b/>
          <w:bCs/>
          <w:color w:val="F27900"/>
          <w:sz w:val="18"/>
          <w:szCs w:val="18"/>
        </w:rPr>
        <w:t xml:space="preserve">  </w:t>
      </w:r>
    </w:p>
    <w:p w14:paraId="11B0672E" w14:textId="2BF8E1C5" w:rsidR="0036345D" w:rsidRDefault="00B0562B">
      <w:pPr>
        <w:jc w:val="both"/>
        <w:rPr>
          <w:b/>
          <w:bCs/>
          <w:sz w:val="18"/>
          <w:szCs w:val="18"/>
        </w:rPr>
      </w:pPr>
      <w:r>
        <w:rPr>
          <w:b/>
          <w:bCs/>
          <w:sz w:val="18"/>
          <w:szCs w:val="18"/>
        </w:rPr>
        <w:t>Si vous souhaitez vous inscrire à un ou plusieurs événements VIP, rendez-vous sur le site internet du tournoi, rubrique « événements partenaires » ou à l’accueil VIP pendant le tournoi.</w:t>
      </w:r>
    </w:p>
    <w:p w14:paraId="3772FBC5" w14:textId="1E42AF71" w:rsidR="0036345D" w:rsidRDefault="00B0562B">
      <w:pPr>
        <w:jc w:val="both"/>
        <w:rPr>
          <w:b/>
          <w:bCs/>
          <w:color w:val="4472C4" w:themeColor="accent1"/>
          <w:sz w:val="18"/>
          <w:szCs w:val="18"/>
          <w:u w:val="single"/>
        </w:rPr>
      </w:pPr>
      <w:r>
        <w:rPr>
          <w:b/>
          <w:bCs/>
          <w:color w:val="4472C4" w:themeColor="accent1"/>
          <w:sz w:val="18"/>
          <w:szCs w:val="18"/>
          <w:u w:val="single"/>
        </w:rPr>
        <w:t xml:space="preserve">Programme prévisionnel des matchs : du 24 au </w:t>
      </w:r>
      <w:r w:rsidR="00AA604B">
        <w:rPr>
          <w:b/>
          <w:bCs/>
          <w:color w:val="4472C4" w:themeColor="accent1"/>
          <w:sz w:val="18"/>
          <w:szCs w:val="18"/>
          <w:u w:val="single"/>
        </w:rPr>
        <w:t>30</w:t>
      </w:r>
      <w:r>
        <w:rPr>
          <w:b/>
          <w:bCs/>
          <w:color w:val="4472C4" w:themeColor="accent1"/>
          <w:sz w:val="18"/>
          <w:szCs w:val="18"/>
          <w:u w:val="single"/>
        </w:rPr>
        <w:t xml:space="preserve"> octobre</w:t>
      </w:r>
    </w:p>
    <w:p w14:paraId="513186E9" w14:textId="77777777" w:rsidR="0036345D" w:rsidRDefault="00B0562B">
      <w:pPr>
        <w:spacing w:after="0"/>
        <w:jc w:val="both"/>
        <w:rPr>
          <w:sz w:val="18"/>
          <w:szCs w:val="18"/>
        </w:rPr>
      </w:pPr>
      <w:r>
        <w:rPr>
          <w:noProof/>
          <w:sz w:val="18"/>
          <w:szCs w:val="18"/>
        </w:rPr>
        <w:t xml:space="preserve">Retrouvez le programme prévisionnel des matchs sur le site internet : </w:t>
      </w:r>
      <w:hyperlink r:id="rId11" w:history="1">
        <w:r>
          <w:rPr>
            <w:rStyle w:val="Lienhypertexte"/>
            <w:noProof/>
            <w:sz w:val="18"/>
            <w:szCs w:val="18"/>
          </w:rPr>
          <w:t>www.opendebrest.fr</w:t>
        </w:r>
      </w:hyperlink>
      <w:r>
        <w:rPr>
          <w:noProof/>
          <w:sz w:val="18"/>
          <w:szCs w:val="18"/>
        </w:rPr>
        <w:t xml:space="preserve">  </w:t>
      </w:r>
    </w:p>
    <w:p w14:paraId="74118A62" w14:textId="77777777" w:rsidR="0036345D" w:rsidRDefault="00B0562B">
      <w:pPr>
        <w:jc w:val="both"/>
        <w:rPr>
          <w:sz w:val="18"/>
          <w:szCs w:val="18"/>
        </w:rPr>
      </w:pPr>
      <w:r>
        <w:rPr>
          <w:sz w:val="18"/>
          <w:szCs w:val="18"/>
        </w:rPr>
        <w:t>Vous pouvez retrouver le programme détaillé des matchs chaque soir pour le lendemain à partir de 22h sur le site web et les réseaux sociaux de l’OBCA.</w:t>
      </w:r>
    </w:p>
    <w:p w14:paraId="5FF6C776" w14:textId="3DD4052E" w:rsidR="0036345D" w:rsidRDefault="00B0562B">
      <w:pPr>
        <w:rPr>
          <w:b/>
          <w:bCs/>
          <w:color w:val="4472C4" w:themeColor="accent1"/>
          <w:sz w:val="36"/>
          <w:szCs w:val="36"/>
        </w:rPr>
      </w:pPr>
      <w:r>
        <w:rPr>
          <w:b/>
          <w:bCs/>
          <w:color w:val="4472C4" w:themeColor="accent1"/>
          <w:sz w:val="18"/>
          <w:szCs w:val="18"/>
          <w:u w:val="single"/>
        </w:rPr>
        <w:t xml:space="preserve">Numéros utiles : </w:t>
      </w:r>
      <w:r>
        <w:rPr>
          <w:b/>
          <w:bCs/>
          <w:color w:val="4472C4" w:themeColor="accent1"/>
          <w:sz w:val="18"/>
          <w:szCs w:val="18"/>
        </w:rPr>
        <w:tab/>
      </w:r>
      <w:r>
        <w:rPr>
          <w:b/>
          <w:bCs/>
          <w:color w:val="4472C4" w:themeColor="accent1"/>
          <w:sz w:val="18"/>
          <w:szCs w:val="18"/>
          <w:u w:val="single"/>
        </w:rPr>
        <w:br/>
      </w:r>
      <w:r>
        <w:rPr>
          <w:sz w:val="18"/>
          <w:szCs w:val="18"/>
        </w:rPr>
        <w:t>Responsable du tournoi : Yoan DUSSORT – 06 67 64 46 89</w:t>
      </w:r>
      <w:r>
        <w:rPr>
          <w:sz w:val="18"/>
          <w:szCs w:val="18"/>
        </w:rPr>
        <w:tab/>
      </w:r>
      <w:r>
        <w:rPr>
          <w:sz w:val="18"/>
          <w:szCs w:val="18"/>
        </w:rPr>
        <w:br/>
        <w:t>Relation partenaires : Adeline TROADEC – 06 22 92 84 15</w:t>
      </w:r>
      <w:r>
        <w:rPr>
          <w:sz w:val="18"/>
          <w:szCs w:val="18"/>
        </w:rPr>
        <w:tab/>
      </w:r>
    </w:p>
    <w:p w14:paraId="04442894" w14:textId="1F053BA4" w:rsidR="0036345D" w:rsidRPr="00883D52" w:rsidRDefault="00B0562B" w:rsidP="00883D52">
      <w:pPr>
        <w:jc w:val="right"/>
        <w:rPr>
          <w:color w:val="4472C4" w:themeColor="accent1"/>
          <w:sz w:val="36"/>
          <w:szCs w:val="36"/>
        </w:rPr>
      </w:pPr>
      <w:r>
        <w:rPr>
          <w:b/>
          <w:bCs/>
          <w:color w:val="4472C4" w:themeColor="accent1"/>
          <w:sz w:val="36"/>
          <w:szCs w:val="36"/>
        </w:rPr>
        <w:lastRenderedPageBreak/>
        <w:t xml:space="preserve">BON TOURNOI À TOUS ! </w:t>
      </w:r>
    </w:p>
    <w:sectPr w:rsidR="0036345D" w:rsidRPr="00883D52">
      <w:pgSz w:w="16838" w:h="11906" w:orient="landscape"/>
      <w:pgMar w:top="680" w:right="851" w:bottom="68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556116"/>
    <w:multiLevelType w:val="hybridMultilevel"/>
    <w:tmpl w:val="A4803212"/>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52AB2007"/>
    <w:multiLevelType w:val="hybridMultilevel"/>
    <w:tmpl w:val="B5C4AE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6CC747E"/>
    <w:multiLevelType w:val="hybridMultilevel"/>
    <w:tmpl w:val="CC06B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A65776D"/>
    <w:multiLevelType w:val="hybridMultilevel"/>
    <w:tmpl w:val="90466CFA"/>
    <w:lvl w:ilvl="0" w:tplc="CDA27C8C">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ABE5898"/>
    <w:multiLevelType w:val="hybridMultilevel"/>
    <w:tmpl w:val="68C857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5D"/>
    <w:rsid w:val="001F1F73"/>
    <w:rsid w:val="0036345D"/>
    <w:rsid w:val="003D25EE"/>
    <w:rsid w:val="005A4662"/>
    <w:rsid w:val="006623A1"/>
    <w:rsid w:val="00677088"/>
    <w:rsid w:val="00883D52"/>
    <w:rsid w:val="00951E8F"/>
    <w:rsid w:val="00A03692"/>
    <w:rsid w:val="00A77E7D"/>
    <w:rsid w:val="00AA604B"/>
    <w:rsid w:val="00B0562B"/>
    <w:rsid w:val="00D36B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3B3F5"/>
  <w15:chartTrackingRefBased/>
  <w15:docId w15:val="{55465681-9BE0-4D94-B207-E08EFBF08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000FF"/>
      <w:u w:val="single"/>
    </w:rPr>
  </w:style>
  <w:style w:type="character" w:customStyle="1" w:styleId="Mentionnonrsolue1">
    <w:name w:val="Mention non résolue1"/>
    <w:basedOn w:val="Policepardfaut"/>
    <w:uiPriority w:val="99"/>
    <w:semiHidden/>
    <w:unhideWhenUsed/>
    <w:rPr>
      <w:color w:val="605E5C"/>
      <w:shd w:val="clear" w:color="auto" w:fill="E1DFDD"/>
    </w:rPr>
  </w:style>
  <w:style w:type="character" w:styleId="Lienhypertextesuivivisit">
    <w:name w:val="FollowedHyperlink"/>
    <w:basedOn w:val="Policepardfaut"/>
    <w:uiPriority w:val="99"/>
    <w:semiHidden/>
    <w:unhideWhenUsed/>
    <w:rPr>
      <w:color w:val="954F72" w:themeColor="followedHyperlink"/>
      <w:u w:val="single"/>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Mentionnonrsolue">
    <w:name w:val="Unresolved Mention"/>
    <w:basedOn w:val="Policepardfaut"/>
    <w:uiPriority w:val="99"/>
    <w:rsid w:val="003D25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debrest.accreditations.fr/code.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opendebrest.accreditations.f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opendebrest.fr"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E644C-70FA-0E4B-BBA1-0A2E9079A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814</Words>
  <Characters>4483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Youna Kerzerho</dc:creator>
  <cp:keywords/>
  <dc:description/>
  <cp:lastModifiedBy>Contact Ydeos</cp:lastModifiedBy>
  <cp:revision>2</cp:revision>
  <cp:lastPrinted>2019-09-12T09:51:00Z</cp:lastPrinted>
  <dcterms:created xsi:type="dcterms:W3CDTF">2022-10-06T12:32:00Z</dcterms:created>
  <dcterms:modified xsi:type="dcterms:W3CDTF">2022-10-06T12:32:00Z</dcterms:modified>
</cp:coreProperties>
</file>